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E3" w:rsidRDefault="005038E3" w:rsidP="005038E3">
      <w:pPr>
        <w:jc w:val="center"/>
        <w:rPr>
          <w:b/>
        </w:rPr>
      </w:pPr>
      <w:r>
        <w:rPr>
          <w:b/>
        </w:rPr>
        <w:t>Требования к оформлению материалов</w:t>
      </w:r>
    </w:p>
    <w:p w:rsidR="005038E3" w:rsidRDefault="005038E3" w:rsidP="005038E3">
      <w:pPr>
        <w:jc w:val="center"/>
        <w:rPr>
          <w:b/>
        </w:rPr>
      </w:pPr>
    </w:p>
    <w:p w:rsidR="005038E3" w:rsidRPr="00A57F9F" w:rsidRDefault="005038E3" w:rsidP="005038E3">
      <w:pPr>
        <w:ind w:firstLine="567"/>
        <w:jc w:val="both"/>
      </w:pPr>
      <w:r>
        <w:t>Статья</w:t>
      </w:r>
      <w:r w:rsidRPr="00A57F9F">
        <w:t xml:space="preserve"> представляется </w:t>
      </w:r>
      <w:r w:rsidRPr="00A57F9F">
        <w:rPr>
          <w:b/>
        </w:rPr>
        <w:t>в электронном виде</w:t>
      </w:r>
      <w:r w:rsidRPr="00A57F9F">
        <w:t xml:space="preserve">. </w:t>
      </w:r>
      <w:r>
        <w:t>О</w:t>
      </w:r>
      <w:r w:rsidRPr="00A57F9F">
        <w:t xml:space="preserve">бъём </w:t>
      </w:r>
      <w:r>
        <w:t xml:space="preserve">– до </w:t>
      </w:r>
      <w:r w:rsidRPr="00A57F9F">
        <w:rPr>
          <w:b/>
        </w:rPr>
        <w:t xml:space="preserve">0,5 </w:t>
      </w:r>
      <w:proofErr w:type="spellStart"/>
      <w:r w:rsidRPr="00A57F9F">
        <w:rPr>
          <w:b/>
        </w:rPr>
        <w:t>печ</w:t>
      </w:r>
      <w:proofErr w:type="spellEnd"/>
      <w:r w:rsidRPr="00A57F9F">
        <w:rPr>
          <w:b/>
        </w:rPr>
        <w:t>. л</w:t>
      </w:r>
      <w:r w:rsidRPr="00A57F9F">
        <w:t>. (20 тыс. знаков с пробе</w:t>
      </w:r>
      <w:r w:rsidRPr="00A57F9F">
        <w:softHyphen/>
      </w:r>
      <w:r>
        <w:t>лами).</w:t>
      </w:r>
      <w:r w:rsidRPr="00A57F9F">
        <w:t xml:space="preserve"> </w:t>
      </w:r>
      <w:r w:rsidRPr="00A57F9F">
        <w:rPr>
          <w:b/>
        </w:rPr>
        <w:t>Формат А</w:t>
      </w:r>
      <w:proofErr w:type="gramStart"/>
      <w:r>
        <w:rPr>
          <w:b/>
        </w:rPr>
        <w:t>4</w:t>
      </w:r>
      <w:proofErr w:type="gramEnd"/>
      <w:r w:rsidRPr="00A57F9F">
        <w:t xml:space="preserve">. Все поля – 2 см. Шрифт 12 </w:t>
      </w:r>
      <w:r w:rsidRPr="00A57F9F">
        <w:rPr>
          <w:lang w:val="en-US"/>
        </w:rPr>
        <w:t>Times</w:t>
      </w:r>
      <w:r w:rsidRPr="00A57F9F">
        <w:t xml:space="preserve"> </w:t>
      </w:r>
      <w:r w:rsidRPr="00A57F9F">
        <w:rPr>
          <w:lang w:val="en-US"/>
        </w:rPr>
        <w:t>New</w:t>
      </w:r>
      <w:r w:rsidRPr="00A57F9F">
        <w:t xml:space="preserve"> </w:t>
      </w:r>
      <w:r w:rsidRPr="00A57F9F">
        <w:rPr>
          <w:lang w:val="en-US"/>
        </w:rPr>
        <w:t>Roman</w:t>
      </w:r>
      <w:r w:rsidRPr="00A57F9F">
        <w:t>. Междустрочный интервал «одинарный». Форматирование «по ширине», отступ пер</w:t>
      </w:r>
      <w:r w:rsidRPr="00A57F9F">
        <w:softHyphen/>
        <w:t>вой строки абз</w:t>
      </w:r>
      <w:r w:rsidRPr="00A57F9F">
        <w:t>а</w:t>
      </w:r>
      <w:r w:rsidRPr="00A57F9F">
        <w:t>ца – 1 см. Не допускается абзацный отступ с помощью клавишей «пробел» и «табуляция». В начале статьи указ</w:t>
      </w:r>
      <w:r w:rsidRPr="00A57F9F">
        <w:t>ы</w:t>
      </w:r>
      <w:r w:rsidRPr="00A57F9F">
        <w:t xml:space="preserve">вается </w:t>
      </w:r>
      <w:r w:rsidRPr="00A57F9F">
        <w:rPr>
          <w:b/>
        </w:rPr>
        <w:t>ББК</w:t>
      </w:r>
      <w:r w:rsidRPr="00A57F9F">
        <w:t>.</w:t>
      </w:r>
    </w:p>
    <w:p w:rsidR="005038E3" w:rsidRPr="001A0F1A" w:rsidRDefault="005038E3" w:rsidP="005038E3">
      <w:pPr>
        <w:ind w:firstLine="567"/>
        <w:jc w:val="both"/>
      </w:pPr>
      <w:r w:rsidRPr="00A57F9F">
        <w:rPr>
          <w:b/>
        </w:rPr>
        <w:t>Ссылки</w:t>
      </w:r>
      <w:r w:rsidRPr="00A57F9F">
        <w:t xml:space="preserve"> – подстрочные с новой нумерацией на каж</w:t>
      </w:r>
      <w:r w:rsidRPr="00A57F9F">
        <w:softHyphen/>
        <w:t>дой странице. Шрифт</w:t>
      </w:r>
      <w:r w:rsidRPr="00A57F9F">
        <w:rPr>
          <w:lang w:val="en-US"/>
        </w:rPr>
        <w:t xml:space="preserve"> </w:t>
      </w:r>
      <w:r w:rsidRPr="00A57F9F">
        <w:t>ссылок</w:t>
      </w:r>
      <w:r w:rsidRPr="00A57F9F">
        <w:rPr>
          <w:lang w:val="en-US"/>
        </w:rPr>
        <w:t xml:space="preserve"> 10 Times New Roman. </w:t>
      </w:r>
      <w:r w:rsidRPr="00A57F9F">
        <w:t>Меж</w:t>
      </w:r>
      <w:r w:rsidRPr="00A57F9F">
        <w:softHyphen/>
        <w:t>дустрочный интервал «одинарный». Форматирование ссы</w:t>
      </w:r>
      <w:r w:rsidRPr="00A57F9F">
        <w:softHyphen/>
        <w:t xml:space="preserve">лок «по ширине», отступ первой строки абзаца – 1 см. В конце статьи приводится </w:t>
      </w:r>
      <w:r>
        <w:t xml:space="preserve">пронумерованный </w:t>
      </w:r>
      <w:r w:rsidRPr="00A57F9F">
        <w:rPr>
          <w:b/>
        </w:rPr>
        <w:t>библио</w:t>
      </w:r>
      <w:r w:rsidRPr="00A57F9F">
        <w:rPr>
          <w:b/>
        </w:rPr>
        <w:softHyphen/>
        <w:t>графический список</w:t>
      </w:r>
      <w:r w:rsidRPr="00A57F9F">
        <w:t xml:space="preserve">. Оформление ссылок и списка по ГОСТ </w:t>
      </w:r>
      <w:proofErr w:type="gramStart"/>
      <w:r w:rsidRPr="00A57F9F">
        <w:t>Р</w:t>
      </w:r>
      <w:proofErr w:type="gramEnd"/>
      <w:r w:rsidRPr="00A57F9F">
        <w:t xml:space="preserve"> 7.0.5–2008. В статьях</w:t>
      </w:r>
      <w:r>
        <w:t xml:space="preserve"> из журналов</w:t>
      </w:r>
      <w:r w:rsidRPr="00A57F9F">
        <w:t>, включённых в список, ука</w:t>
      </w:r>
      <w:r w:rsidRPr="00A57F9F">
        <w:softHyphen/>
        <w:t>зываются все страницы публикации, например:</w:t>
      </w:r>
      <w:r>
        <w:t xml:space="preserve"> </w:t>
      </w:r>
      <w:r w:rsidRPr="00A57F9F">
        <w:rPr>
          <w:i/>
        </w:rPr>
        <w:t>Гр</w:t>
      </w:r>
      <w:r w:rsidRPr="00A57F9F">
        <w:rPr>
          <w:i/>
        </w:rPr>
        <w:t>и</w:t>
      </w:r>
      <w:r w:rsidRPr="00A57F9F">
        <w:rPr>
          <w:i/>
        </w:rPr>
        <w:t>нин Л. Е.</w:t>
      </w:r>
      <w:r w:rsidRPr="00A57F9F">
        <w:t xml:space="preserve"> Глобализация и процессы трансформации национального суверенитета // Век гл</w:t>
      </w:r>
      <w:r>
        <w:t xml:space="preserve">обализации. 2008. № 1. С. 86–97; </w:t>
      </w:r>
      <w:r w:rsidRPr="001A0F1A">
        <w:rPr>
          <w:i/>
          <w:iCs/>
        </w:rPr>
        <w:t xml:space="preserve">Байтин М. И. </w:t>
      </w:r>
      <w:r w:rsidRPr="001A0F1A">
        <w:t xml:space="preserve">Сущность права. </w:t>
      </w:r>
      <w:proofErr w:type="gramStart"/>
      <w:r w:rsidRPr="001A0F1A">
        <w:t>Современное</w:t>
      </w:r>
      <w:proofErr w:type="gramEnd"/>
      <w:r w:rsidRPr="001A0F1A">
        <w:t xml:space="preserve"> нормативное </w:t>
      </w:r>
      <w:proofErr w:type="spellStart"/>
      <w:r w:rsidRPr="001A0F1A">
        <w:t>пра</w:t>
      </w:r>
      <w:r w:rsidRPr="001A0F1A">
        <w:softHyphen/>
        <w:t>во</w:t>
      </w:r>
      <w:r w:rsidRPr="001A0F1A">
        <w:softHyphen/>
        <w:t>понимание</w:t>
      </w:r>
      <w:proofErr w:type="spellEnd"/>
      <w:r w:rsidRPr="001A0F1A">
        <w:t xml:space="preserve"> на грани двух веков. 2-е изд., доп. М., 2005. 544 с.</w:t>
      </w:r>
    </w:p>
    <w:p w:rsidR="005038E3" w:rsidRDefault="005038E3" w:rsidP="005038E3">
      <w:pPr>
        <w:spacing w:line="216" w:lineRule="auto"/>
        <w:ind w:firstLine="567"/>
        <w:jc w:val="both"/>
        <w:rPr>
          <w:b/>
        </w:rPr>
      </w:pPr>
      <w:r w:rsidRPr="009F66AF">
        <w:rPr>
          <w:b/>
        </w:rPr>
        <w:t>Особое внимание обращаем на то, что к рукописи прилагаются на русском и английском языках: название и краткая аннотация статьи</w:t>
      </w:r>
      <w:r>
        <w:rPr>
          <w:b/>
        </w:rPr>
        <w:t xml:space="preserve"> (250-300 знаков с пробелами - 1-3 предложения)</w:t>
      </w:r>
      <w:r w:rsidRPr="009F66AF">
        <w:rPr>
          <w:b/>
        </w:rPr>
        <w:t>, ключевые слова</w:t>
      </w:r>
      <w:r>
        <w:rPr>
          <w:b/>
        </w:rPr>
        <w:t xml:space="preserve"> (5-7 слов)</w:t>
      </w:r>
      <w:r w:rsidRPr="009F66AF">
        <w:rPr>
          <w:b/>
        </w:rPr>
        <w:t>, авторская справка.</w:t>
      </w:r>
      <w:r>
        <w:rPr>
          <w:b/>
        </w:rPr>
        <w:t xml:space="preserve"> </w:t>
      </w:r>
    </w:p>
    <w:p w:rsidR="005038E3" w:rsidRDefault="005038E3" w:rsidP="005038E3">
      <w:pPr>
        <w:spacing w:line="216" w:lineRule="auto"/>
        <w:ind w:firstLine="567"/>
        <w:jc w:val="both"/>
        <w:rPr>
          <w:b/>
        </w:rPr>
      </w:pPr>
    </w:p>
    <w:p w:rsidR="005038E3" w:rsidRDefault="005038E3" w:rsidP="005038E3">
      <w:pPr>
        <w:spacing w:line="216" w:lineRule="auto"/>
        <w:ind w:firstLine="567"/>
        <w:jc w:val="both"/>
        <w:rPr>
          <w:b/>
        </w:rPr>
      </w:pPr>
      <w:r w:rsidRPr="00D13C56">
        <w:rPr>
          <w:b/>
        </w:rPr>
        <w:t xml:space="preserve">В авторской справке необходимо указать: </w:t>
      </w:r>
    </w:p>
    <w:p w:rsidR="005038E3" w:rsidRDefault="005038E3" w:rsidP="005038E3">
      <w:pPr>
        <w:numPr>
          <w:ilvl w:val="0"/>
          <w:numId w:val="1"/>
        </w:numPr>
        <w:spacing w:line="216" w:lineRule="auto"/>
        <w:jc w:val="both"/>
        <w:rPr>
          <w:b/>
        </w:rPr>
      </w:pPr>
      <w:r w:rsidRPr="00D13C56">
        <w:rPr>
          <w:b/>
        </w:rPr>
        <w:t xml:space="preserve">фамилию, имя, отчество (полностью), </w:t>
      </w:r>
    </w:p>
    <w:p w:rsidR="005038E3" w:rsidRPr="008D4714" w:rsidRDefault="005038E3" w:rsidP="005038E3">
      <w:pPr>
        <w:numPr>
          <w:ilvl w:val="0"/>
          <w:numId w:val="1"/>
        </w:numPr>
        <w:spacing w:line="216" w:lineRule="auto"/>
        <w:jc w:val="both"/>
      </w:pPr>
      <w:r w:rsidRPr="00D13C56">
        <w:rPr>
          <w:b/>
        </w:rPr>
        <w:t>учёную степень, звание, долж</w:t>
      </w:r>
      <w:r w:rsidRPr="00D13C56">
        <w:rPr>
          <w:b/>
        </w:rPr>
        <w:softHyphen/>
        <w:t>ность, полное и точное место работы или учёбы (вуз, кафедра и др.</w:t>
      </w:r>
      <w:r>
        <w:rPr>
          <w:b/>
        </w:rPr>
        <w:t>, город</w:t>
      </w:r>
      <w:r w:rsidRPr="00D13C56">
        <w:rPr>
          <w:b/>
        </w:rPr>
        <w:t xml:space="preserve">), адрес, контактный телефон, </w:t>
      </w:r>
      <w:r w:rsidRPr="00D13C56">
        <w:rPr>
          <w:b/>
          <w:lang w:val="en-US"/>
        </w:rPr>
        <w:t>e</w:t>
      </w:r>
      <w:r w:rsidRPr="00D13C56">
        <w:rPr>
          <w:b/>
        </w:rPr>
        <w:t>-</w:t>
      </w:r>
      <w:r w:rsidRPr="00D13C56">
        <w:rPr>
          <w:b/>
          <w:lang w:val="en-US"/>
        </w:rPr>
        <w:t>mail</w:t>
      </w:r>
      <w:r w:rsidRPr="00D13C56">
        <w:rPr>
          <w:b/>
        </w:rPr>
        <w:t xml:space="preserve">. </w:t>
      </w:r>
      <w:r>
        <w:rPr>
          <w:b/>
        </w:rPr>
        <w:t xml:space="preserve"> </w:t>
      </w:r>
    </w:p>
    <w:p w:rsidR="005038E3" w:rsidRPr="00F307F1" w:rsidRDefault="005038E3" w:rsidP="005038E3">
      <w:pPr>
        <w:numPr>
          <w:ilvl w:val="0"/>
          <w:numId w:val="1"/>
        </w:numPr>
        <w:spacing w:line="216" w:lineRule="auto"/>
        <w:jc w:val="both"/>
      </w:pPr>
      <w:r w:rsidRPr="0037144D">
        <w:t xml:space="preserve">Также необходимо указать </w:t>
      </w:r>
      <w:r w:rsidRPr="00E5102D">
        <w:rPr>
          <w:b/>
        </w:rPr>
        <w:t>на русском языке</w:t>
      </w:r>
      <w:r w:rsidRPr="0037144D">
        <w:t xml:space="preserve"> </w:t>
      </w:r>
      <w:r>
        <w:t>направление конференции, в рамках которого</w:t>
      </w:r>
      <w:r w:rsidRPr="00F307F1">
        <w:t xml:space="preserve"> </w:t>
      </w:r>
      <w:r>
        <w:t>представляется материал и почтовый адрес с индексом для рассылки печатного сборника статей.</w:t>
      </w:r>
    </w:p>
    <w:p w:rsidR="005038E3" w:rsidRPr="00D53FE6" w:rsidRDefault="005038E3" w:rsidP="005038E3">
      <w:pPr>
        <w:ind w:firstLine="567"/>
        <w:jc w:val="both"/>
      </w:pPr>
      <w:r>
        <w:t>Отправлять материалы следует двумя прикрепленными файлами: 1-й – статья с аннотацией и ключевыми словами, 2-й –  авторская справка; название файлов должно начинаться с фамилии автора.</w:t>
      </w:r>
    </w:p>
    <w:p w:rsidR="005038E3" w:rsidRDefault="005038E3" w:rsidP="005038E3">
      <w:pPr>
        <w:ind w:firstLine="708"/>
        <w:jc w:val="both"/>
        <w:rPr>
          <w:b/>
        </w:rPr>
      </w:pPr>
      <w:r w:rsidRPr="00EA29AF">
        <w:t xml:space="preserve">Оргкомитет конференции оставляет за собой право конкурсного отбора и редактирования присланных научных работ. Присланные материалы не возвращаются. Работы, не соответствующие тематике конференции, оформленные с нарушением требований, представленные позднее указанного срока, не принимаются. </w:t>
      </w:r>
      <w:r w:rsidRPr="00A57F9F">
        <w:rPr>
          <w:spacing w:val="-2"/>
        </w:rPr>
        <w:t>Об</w:t>
      </w:r>
      <w:r w:rsidRPr="00A57F9F">
        <w:rPr>
          <w:spacing w:val="-2"/>
        </w:rPr>
        <w:softHyphen/>
        <w:t>ращаем внимание на правильность оформления статей. Ред</w:t>
      </w:r>
      <w:r w:rsidRPr="00A57F9F">
        <w:rPr>
          <w:spacing w:val="-2"/>
        </w:rPr>
        <w:softHyphen/>
        <w:t>кол</w:t>
      </w:r>
      <w:r w:rsidRPr="00A57F9F">
        <w:rPr>
          <w:spacing w:val="-2"/>
        </w:rPr>
        <w:softHyphen/>
        <w:t>легия оставляет за собой право отбора и редактиро</w:t>
      </w:r>
      <w:r w:rsidRPr="00A57F9F">
        <w:rPr>
          <w:spacing w:val="-2"/>
        </w:rPr>
        <w:softHyphen/>
        <w:t>вания ста</w:t>
      </w:r>
      <w:r w:rsidRPr="00A57F9F">
        <w:rPr>
          <w:spacing w:val="-2"/>
        </w:rPr>
        <w:softHyphen/>
        <w:t>тей для публикации.</w:t>
      </w:r>
    </w:p>
    <w:p w:rsidR="005038E3" w:rsidRDefault="005038E3" w:rsidP="005038E3">
      <w:pPr>
        <w:ind w:firstLine="708"/>
        <w:jc w:val="both"/>
      </w:pPr>
      <w:r w:rsidRPr="00293327">
        <w:rPr>
          <w:b/>
          <w:i/>
          <w:sz w:val="26"/>
          <w:szCs w:val="26"/>
        </w:rPr>
        <w:t>Публикация бесплатная.</w:t>
      </w:r>
      <w:r>
        <w:t xml:space="preserve"> Иногородним у</w:t>
      </w:r>
      <w:r w:rsidRPr="00EA29AF">
        <w:t xml:space="preserve">частникам сборник </w:t>
      </w:r>
      <w:r>
        <w:t>высылается в электронном виде (формат «</w:t>
      </w:r>
      <w:proofErr w:type="spellStart"/>
      <w:r>
        <w:rPr>
          <w:lang w:val="en-US"/>
        </w:rPr>
        <w:t>pdf</w:t>
      </w:r>
      <w:proofErr w:type="spellEnd"/>
      <w:r>
        <w:t>»</w:t>
      </w:r>
      <w:r w:rsidRPr="0084033B">
        <w:t>)</w:t>
      </w:r>
      <w:r>
        <w:t xml:space="preserve"> или наложенным платежом по указанному в заявке адресу.</w:t>
      </w:r>
    </w:p>
    <w:p w:rsidR="005038E3" w:rsidRDefault="005038E3" w:rsidP="005038E3">
      <w:pPr>
        <w:ind w:firstLine="708"/>
        <w:jc w:val="both"/>
        <w:rPr>
          <w:b/>
          <w:i/>
        </w:rPr>
      </w:pPr>
      <w:r>
        <w:rPr>
          <w:b/>
          <w:i/>
        </w:rPr>
        <w:br w:type="page"/>
      </w:r>
      <w:r>
        <w:rPr>
          <w:b/>
          <w:i/>
        </w:rPr>
        <w:lastRenderedPageBreak/>
        <w:t xml:space="preserve">Пример оформления заголовка,  аннотации, ключевых слов </w:t>
      </w:r>
    </w:p>
    <w:p w:rsidR="005038E3" w:rsidRDefault="005038E3" w:rsidP="005038E3">
      <w:pPr>
        <w:jc w:val="right"/>
        <w:rPr>
          <w:b/>
          <w:i/>
        </w:rPr>
      </w:pPr>
      <w:r>
        <w:rPr>
          <w:b/>
          <w:i/>
        </w:rPr>
        <w:t xml:space="preserve">П. А. Корж </w:t>
      </w:r>
    </w:p>
    <w:p w:rsidR="005038E3" w:rsidRPr="009F66AF" w:rsidRDefault="005038E3" w:rsidP="005038E3">
      <w:pPr>
        <w:jc w:val="center"/>
        <w:rPr>
          <w:b/>
        </w:rPr>
      </w:pPr>
      <w:r w:rsidRPr="009F66AF">
        <w:rPr>
          <w:b/>
        </w:rPr>
        <w:t>Проблемы действия Конституции РФ:</w:t>
      </w:r>
      <w:r>
        <w:rPr>
          <w:b/>
        </w:rPr>
        <w:t xml:space="preserve"> </w:t>
      </w:r>
      <w:r w:rsidRPr="009F66AF">
        <w:rPr>
          <w:b/>
        </w:rPr>
        <w:t>технико-юридический аспект</w:t>
      </w:r>
    </w:p>
    <w:p w:rsidR="005038E3" w:rsidRPr="007F46BA" w:rsidRDefault="005038E3" w:rsidP="005038E3">
      <w:pPr>
        <w:rPr>
          <w:sz w:val="20"/>
          <w:szCs w:val="20"/>
        </w:rPr>
      </w:pPr>
      <w:r>
        <w:rPr>
          <w:sz w:val="20"/>
          <w:szCs w:val="20"/>
        </w:rPr>
        <w:t>ББК 67</w:t>
      </w:r>
    </w:p>
    <w:p w:rsidR="005038E3" w:rsidRDefault="005038E3" w:rsidP="005038E3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7F46BA">
        <w:rPr>
          <w:i/>
          <w:sz w:val="20"/>
          <w:szCs w:val="20"/>
        </w:rPr>
        <w:t>В статье</w:t>
      </w:r>
      <w:r>
        <w:rPr>
          <w:i/>
          <w:sz w:val="20"/>
          <w:szCs w:val="20"/>
        </w:rPr>
        <w:t xml:space="preserve"> </w:t>
      </w:r>
      <w:r w:rsidRPr="00781327">
        <w:rPr>
          <w:i/>
          <w:sz w:val="20"/>
          <w:szCs w:val="20"/>
        </w:rPr>
        <w:t>рассматриваются пробл</w:t>
      </w:r>
      <w:r w:rsidRPr="00781327">
        <w:rPr>
          <w:i/>
          <w:sz w:val="20"/>
          <w:szCs w:val="20"/>
        </w:rPr>
        <w:t>е</w:t>
      </w:r>
      <w:r w:rsidRPr="00781327">
        <w:rPr>
          <w:i/>
          <w:sz w:val="20"/>
          <w:szCs w:val="20"/>
        </w:rPr>
        <w:t>мы действия Конституции РФ как высшего нормативно-правового акта с технико-юридической точки зрения. Выявляются технико-юридические приемы нейтрализации норм Конституции РФ. Дается оценка технико-юридическому качеству поправок в Конст</w:t>
      </w:r>
      <w:r w:rsidRPr="00781327">
        <w:rPr>
          <w:i/>
          <w:sz w:val="20"/>
          <w:szCs w:val="20"/>
        </w:rPr>
        <w:t>и</w:t>
      </w:r>
      <w:r w:rsidRPr="00781327">
        <w:rPr>
          <w:i/>
          <w:sz w:val="20"/>
          <w:szCs w:val="20"/>
        </w:rPr>
        <w:t>туцию РФ</w:t>
      </w:r>
      <w:r>
        <w:rPr>
          <w:i/>
          <w:sz w:val="20"/>
          <w:szCs w:val="20"/>
        </w:rPr>
        <w:t>.</w:t>
      </w:r>
    </w:p>
    <w:p w:rsidR="005038E3" w:rsidRPr="007F46BA" w:rsidRDefault="005038E3" w:rsidP="005038E3">
      <w:pPr>
        <w:autoSpaceDE w:val="0"/>
        <w:autoSpaceDN w:val="0"/>
        <w:adjustRightInd w:val="0"/>
        <w:ind w:firstLine="567"/>
        <w:jc w:val="both"/>
        <w:rPr>
          <w:b/>
          <w:i/>
          <w:sz w:val="20"/>
          <w:szCs w:val="20"/>
        </w:rPr>
      </w:pPr>
      <w:r w:rsidRPr="007F46BA">
        <w:rPr>
          <w:i/>
          <w:sz w:val="20"/>
          <w:szCs w:val="20"/>
        </w:rPr>
        <w:t xml:space="preserve">Ключевые слова: </w:t>
      </w:r>
      <w:r w:rsidRPr="009C63F4">
        <w:rPr>
          <w:i/>
          <w:sz w:val="20"/>
          <w:szCs w:val="20"/>
        </w:rPr>
        <w:t>Конституция РФ, юридическая техника, п</w:t>
      </w:r>
      <w:r w:rsidRPr="009C63F4">
        <w:rPr>
          <w:i/>
          <w:sz w:val="20"/>
          <w:szCs w:val="20"/>
        </w:rPr>
        <w:t>о</w:t>
      </w:r>
      <w:r w:rsidRPr="009C63F4">
        <w:rPr>
          <w:i/>
          <w:sz w:val="20"/>
          <w:szCs w:val="20"/>
        </w:rPr>
        <w:t>правки в Конституцию</w:t>
      </w:r>
      <w:r>
        <w:rPr>
          <w:i/>
          <w:sz w:val="20"/>
          <w:szCs w:val="20"/>
        </w:rPr>
        <w:t>, нейтрализация норм Конституции</w:t>
      </w:r>
      <w:proofErr w:type="gramStart"/>
      <w:r w:rsidRPr="007F46BA">
        <w:rPr>
          <w:i/>
          <w:sz w:val="20"/>
          <w:szCs w:val="20"/>
        </w:rPr>
        <w:t xml:space="preserve"> .</w:t>
      </w:r>
      <w:proofErr w:type="gramEnd"/>
    </w:p>
    <w:p w:rsidR="005038E3" w:rsidRPr="005038E3" w:rsidRDefault="005038E3" w:rsidP="005038E3">
      <w:pPr>
        <w:keepNext/>
        <w:jc w:val="right"/>
        <w:rPr>
          <w:b/>
          <w:i/>
          <w:lang w:val="en-US"/>
        </w:rPr>
      </w:pPr>
      <w:proofErr w:type="spellStart"/>
      <w:r w:rsidRPr="002C153F">
        <w:rPr>
          <w:b/>
          <w:i/>
          <w:lang w:val="en-US"/>
        </w:rPr>
        <w:t>Korzh</w:t>
      </w:r>
      <w:proofErr w:type="spellEnd"/>
      <w:r w:rsidRPr="002C153F">
        <w:rPr>
          <w:b/>
          <w:i/>
          <w:lang w:val="en-US"/>
        </w:rPr>
        <w:t xml:space="preserve"> P. A.</w:t>
      </w:r>
    </w:p>
    <w:p w:rsidR="005038E3" w:rsidRPr="002C153F" w:rsidRDefault="005038E3" w:rsidP="005038E3">
      <w:pPr>
        <w:keepNext/>
        <w:jc w:val="center"/>
        <w:rPr>
          <w:lang w:val="en-US"/>
        </w:rPr>
      </w:pPr>
      <w:r w:rsidRPr="002C153F">
        <w:rPr>
          <w:lang w:val="en-US"/>
        </w:rPr>
        <w:t xml:space="preserve">Problems of the Constitution of the </w:t>
      </w:r>
      <w:smartTag w:uri="urn:schemas-microsoft-com:office:smarttags" w:element="place">
        <w:smartTag w:uri="urn:schemas-microsoft-com:office:smarttags" w:element="country-region">
          <w:r w:rsidRPr="002C153F">
            <w:rPr>
              <w:lang w:val="en-US"/>
            </w:rPr>
            <w:t>Russian Federation</w:t>
          </w:r>
        </w:smartTag>
      </w:smartTag>
      <w:r w:rsidRPr="002C153F">
        <w:rPr>
          <w:lang w:val="en-US"/>
        </w:rPr>
        <w:t>: techn</w:t>
      </w:r>
      <w:r w:rsidRPr="002C153F">
        <w:rPr>
          <w:lang w:val="en-US"/>
        </w:rPr>
        <w:t>i</w:t>
      </w:r>
      <w:r w:rsidRPr="002C153F">
        <w:rPr>
          <w:lang w:val="en-US"/>
        </w:rPr>
        <w:t>cal and legal aspect.</w:t>
      </w:r>
    </w:p>
    <w:p w:rsidR="005038E3" w:rsidRPr="002C153F" w:rsidRDefault="005038E3" w:rsidP="005038E3">
      <w:pPr>
        <w:ind w:firstLine="567"/>
        <w:rPr>
          <w:i/>
          <w:sz w:val="20"/>
          <w:szCs w:val="20"/>
          <w:lang w:val="en-US"/>
        </w:rPr>
      </w:pPr>
      <w:r w:rsidRPr="002C153F">
        <w:rPr>
          <w:i/>
          <w:sz w:val="20"/>
          <w:szCs w:val="20"/>
          <w:lang w:val="en-US"/>
        </w:rPr>
        <w:t xml:space="preserve">This article discusses the actions of the Russian Constitution as the supreme legal act with the legal-technical point of view. </w:t>
      </w:r>
      <w:proofErr w:type="gramStart"/>
      <w:r w:rsidRPr="002C153F">
        <w:rPr>
          <w:i/>
          <w:sz w:val="20"/>
          <w:szCs w:val="20"/>
          <w:lang w:val="en-US"/>
        </w:rPr>
        <w:t xml:space="preserve">Identifies the legal-technical methods of neutralization provisions of the Constitution of the </w:t>
      </w:r>
      <w:smartTag w:uri="urn:schemas-microsoft-com:office:smarttags" w:element="place">
        <w:smartTag w:uri="urn:schemas-microsoft-com:office:smarttags" w:element="country-region">
          <w:r w:rsidRPr="002C153F">
            <w:rPr>
              <w:i/>
              <w:sz w:val="20"/>
              <w:szCs w:val="20"/>
              <w:lang w:val="en-US"/>
            </w:rPr>
            <w:t>Russian Federation</w:t>
          </w:r>
        </w:smartTag>
      </w:smartTag>
      <w:r w:rsidRPr="002C153F">
        <w:rPr>
          <w:i/>
          <w:sz w:val="20"/>
          <w:szCs w:val="20"/>
          <w:lang w:val="en-US"/>
        </w:rPr>
        <w:t>.</w:t>
      </w:r>
      <w:proofErr w:type="gramEnd"/>
      <w:r w:rsidRPr="002C153F">
        <w:rPr>
          <w:i/>
          <w:sz w:val="20"/>
          <w:szCs w:val="20"/>
          <w:lang w:val="en-US"/>
        </w:rPr>
        <w:t xml:space="preserve"> </w:t>
      </w:r>
      <w:proofErr w:type="gramStart"/>
      <w:r w:rsidRPr="002C153F">
        <w:rPr>
          <w:i/>
          <w:sz w:val="20"/>
          <w:szCs w:val="20"/>
          <w:lang w:val="en-US"/>
        </w:rPr>
        <w:t>Assesses the legal-technical quality of legal amen</w:t>
      </w:r>
      <w:r w:rsidRPr="002C153F">
        <w:rPr>
          <w:i/>
          <w:sz w:val="20"/>
          <w:szCs w:val="20"/>
          <w:lang w:val="en-US"/>
        </w:rPr>
        <w:t>d</w:t>
      </w:r>
      <w:r w:rsidRPr="002C153F">
        <w:rPr>
          <w:i/>
          <w:sz w:val="20"/>
          <w:szCs w:val="20"/>
          <w:lang w:val="en-US"/>
        </w:rPr>
        <w:t xml:space="preserve">ments to the Constitution of the </w:t>
      </w:r>
      <w:smartTag w:uri="urn:schemas-microsoft-com:office:smarttags" w:element="place">
        <w:smartTag w:uri="urn:schemas-microsoft-com:office:smarttags" w:element="country-region">
          <w:r w:rsidRPr="002C153F">
            <w:rPr>
              <w:i/>
              <w:sz w:val="20"/>
              <w:szCs w:val="20"/>
              <w:lang w:val="en-US"/>
            </w:rPr>
            <w:t>Russian Federation</w:t>
          </w:r>
        </w:smartTag>
      </w:smartTag>
      <w:r w:rsidRPr="002C153F">
        <w:rPr>
          <w:i/>
          <w:sz w:val="20"/>
          <w:szCs w:val="20"/>
          <w:lang w:val="en-US"/>
        </w:rPr>
        <w:t>.</w:t>
      </w:r>
      <w:proofErr w:type="gramEnd"/>
    </w:p>
    <w:p w:rsidR="005038E3" w:rsidRPr="002C153F" w:rsidRDefault="005038E3" w:rsidP="005038E3">
      <w:pPr>
        <w:ind w:firstLine="567"/>
        <w:rPr>
          <w:i/>
          <w:sz w:val="20"/>
          <w:szCs w:val="20"/>
          <w:lang w:val="en-US"/>
        </w:rPr>
      </w:pPr>
      <w:r w:rsidRPr="002C153F">
        <w:rPr>
          <w:i/>
          <w:sz w:val="20"/>
          <w:szCs w:val="20"/>
          <w:lang w:val="en-US"/>
        </w:rPr>
        <w:t xml:space="preserve">Key words: Constitution of the </w:t>
      </w:r>
      <w:smartTag w:uri="urn:schemas-microsoft-com:office:smarttags" w:element="place">
        <w:smartTag w:uri="urn:schemas-microsoft-com:office:smarttags" w:element="country-region">
          <w:r w:rsidRPr="002C153F">
            <w:rPr>
              <w:i/>
              <w:sz w:val="20"/>
              <w:szCs w:val="20"/>
              <w:lang w:val="en-US"/>
            </w:rPr>
            <w:t>Russian Federation</w:t>
          </w:r>
        </w:smartTag>
      </w:smartTag>
      <w:r w:rsidRPr="002C153F">
        <w:rPr>
          <w:i/>
          <w:sz w:val="20"/>
          <w:szCs w:val="20"/>
          <w:lang w:val="en-US"/>
        </w:rPr>
        <w:t>, legal tec</w:t>
      </w:r>
      <w:r w:rsidRPr="002C153F">
        <w:rPr>
          <w:i/>
          <w:sz w:val="20"/>
          <w:szCs w:val="20"/>
          <w:lang w:val="en-US"/>
        </w:rPr>
        <w:t>h</w:t>
      </w:r>
      <w:r w:rsidRPr="002C153F">
        <w:rPr>
          <w:i/>
          <w:sz w:val="20"/>
          <w:szCs w:val="20"/>
          <w:lang w:val="en-US"/>
        </w:rPr>
        <w:t>nique, the amendments to the Constitution, the neutralization of constitutional norms.</w:t>
      </w:r>
    </w:p>
    <w:p w:rsidR="001705FC" w:rsidRPr="005038E3" w:rsidRDefault="005038E3">
      <w:pPr>
        <w:rPr>
          <w:lang w:val="en-US"/>
        </w:rPr>
      </w:pPr>
    </w:p>
    <w:sectPr w:rsidR="001705FC" w:rsidRPr="005038E3" w:rsidSect="00FC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F3341"/>
    <w:multiLevelType w:val="hybridMultilevel"/>
    <w:tmpl w:val="C6E0143E"/>
    <w:lvl w:ilvl="0" w:tplc="DABE610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8E3"/>
    <w:rsid w:val="005038E3"/>
    <w:rsid w:val="00A07071"/>
    <w:rsid w:val="00EB2C01"/>
    <w:rsid w:val="00FC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5038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Company>Microsoft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2014-03-11T05:32:00Z</dcterms:created>
  <dcterms:modified xsi:type="dcterms:W3CDTF">2014-03-11T05:32:00Z</dcterms:modified>
</cp:coreProperties>
</file>